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5F" w:rsidRDefault="0019652C" w:rsidP="0019652C">
      <w:pPr>
        <w:ind w:left="-90"/>
        <w:rPr>
          <w:b/>
          <w:sz w:val="32"/>
          <w:szCs w:val="32"/>
        </w:rPr>
      </w:pPr>
      <w:r w:rsidRPr="0019652C">
        <w:rPr>
          <w:b/>
          <w:sz w:val="32"/>
          <w:szCs w:val="32"/>
        </w:rPr>
        <w:t xml:space="preserve">Common Core for English Language Learners: </w:t>
      </w:r>
      <w:r w:rsidR="0089615F" w:rsidRPr="0019652C">
        <w:rPr>
          <w:b/>
          <w:sz w:val="32"/>
          <w:szCs w:val="32"/>
        </w:rPr>
        <w:t>Equity Audit</w:t>
      </w:r>
      <w:r w:rsidR="00022286" w:rsidRPr="0019652C">
        <w:rPr>
          <w:b/>
          <w:sz w:val="32"/>
          <w:szCs w:val="32"/>
        </w:rPr>
        <w:t xml:space="preserve"> Table</w:t>
      </w:r>
    </w:p>
    <w:p w:rsidR="003A1B60" w:rsidRPr="0019652C" w:rsidRDefault="003A1B60" w:rsidP="0019652C">
      <w:pPr>
        <w:ind w:left="-90"/>
        <w:rPr>
          <w:b/>
          <w:sz w:val="32"/>
          <w:szCs w:val="32"/>
        </w:rPr>
      </w:pPr>
      <w:r>
        <w:t xml:space="preserve">By Dr. Diane </w:t>
      </w:r>
      <w:proofErr w:type="spellStart"/>
      <w:r>
        <w:t>Staehr</w:t>
      </w:r>
      <w:proofErr w:type="spellEnd"/>
      <w:r>
        <w:t xml:space="preserve"> </w:t>
      </w:r>
      <w:proofErr w:type="spellStart"/>
      <w:r>
        <w:t>Fenner</w:t>
      </w:r>
      <w:proofErr w:type="spellEnd"/>
    </w:p>
    <w:tbl>
      <w:tblPr>
        <w:tblStyle w:val="TableGrid"/>
        <w:tblW w:w="0" w:type="auto"/>
        <w:tblLook w:val="04A0"/>
      </w:tblPr>
      <w:tblGrid>
        <w:gridCol w:w="2581"/>
        <w:gridCol w:w="2494"/>
        <w:gridCol w:w="2027"/>
        <w:gridCol w:w="2248"/>
      </w:tblGrid>
      <w:tr w:rsidR="00B14AE7" w:rsidTr="00B14AE7">
        <w:tc>
          <w:tcPr>
            <w:tcW w:w="2581" w:type="dxa"/>
          </w:tcPr>
          <w:p w:rsidR="00B14AE7" w:rsidRPr="008B5D1F" w:rsidRDefault="00B14AE7" w:rsidP="005D1670">
            <w:pPr>
              <w:spacing w:after="160" w:line="259" w:lineRule="auto"/>
            </w:pPr>
            <w:r>
              <w:rPr>
                <w:b/>
                <w:bCs/>
              </w:rPr>
              <w:t xml:space="preserve">CCSS Implementation </w:t>
            </w:r>
            <w:r w:rsidRPr="008B5D1F">
              <w:rPr>
                <w:b/>
                <w:bCs/>
              </w:rPr>
              <w:t>Consideration</w:t>
            </w:r>
          </w:p>
        </w:tc>
        <w:tc>
          <w:tcPr>
            <w:tcW w:w="2494" w:type="dxa"/>
          </w:tcPr>
          <w:p w:rsidR="00B14AE7" w:rsidRPr="008B5D1F" w:rsidRDefault="00B14AE7" w:rsidP="005D1670">
            <w:pPr>
              <w:spacing w:after="160" w:line="259" w:lineRule="auto"/>
            </w:pPr>
            <w:r w:rsidRPr="008B5D1F">
              <w:rPr>
                <w:b/>
                <w:bCs/>
              </w:rPr>
              <w:t>Questions to Ask: To What Degree…</w:t>
            </w:r>
          </w:p>
        </w:tc>
        <w:tc>
          <w:tcPr>
            <w:tcW w:w="2027" w:type="dxa"/>
          </w:tcPr>
          <w:p w:rsidR="00B14AE7" w:rsidRPr="008B5D1F" w:rsidRDefault="00B14AE7" w:rsidP="005D1670">
            <w:pPr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  <w:tc>
          <w:tcPr>
            <w:tcW w:w="2248" w:type="dxa"/>
          </w:tcPr>
          <w:p w:rsidR="00B14AE7" w:rsidRPr="008B5D1F" w:rsidRDefault="00B14AE7" w:rsidP="005D1670">
            <w:pPr>
              <w:spacing w:after="160" w:line="259" w:lineRule="auto"/>
            </w:pPr>
            <w:r w:rsidRPr="008B5D1F">
              <w:rPr>
                <w:b/>
                <w:bCs/>
              </w:rPr>
              <w:t>Action Items</w:t>
            </w:r>
          </w:p>
        </w:tc>
      </w:tr>
      <w:tr w:rsidR="00B14AE7" w:rsidTr="00B14AE7">
        <w:tc>
          <w:tcPr>
            <w:tcW w:w="2581" w:type="dxa"/>
          </w:tcPr>
          <w:p w:rsidR="00B14AE7" w:rsidRPr="008B5D1F" w:rsidRDefault="008D39D8" w:rsidP="005D1670">
            <w:pPr>
              <w:spacing w:after="160" w:line="259" w:lineRule="auto"/>
            </w:pPr>
            <w:hyperlink r:id="rId5" w:history="1">
              <w:r w:rsidR="00B14AE7" w:rsidRPr="00E64143">
                <w:rPr>
                  <w:rStyle w:val="Hyperlink"/>
                </w:rPr>
                <w:t>Role of ESL teacher</w:t>
              </w:r>
            </w:hyperlink>
          </w:p>
        </w:tc>
        <w:tc>
          <w:tcPr>
            <w:tcW w:w="2494" w:type="dxa"/>
          </w:tcPr>
          <w:p w:rsidR="00B14AE7" w:rsidRPr="008B5D1F" w:rsidRDefault="00B14AE7" w:rsidP="005D1670">
            <w:pPr>
              <w:spacing w:after="160" w:line="259" w:lineRule="auto"/>
            </w:pPr>
            <w:r w:rsidRPr="008B5D1F">
              <w:t>Are ESL teachers working as experts and consult</w:t>
            </w:r>
            <w:r>
              <w:t>ants &amp; collaborating with general education</w:t>
            </w:r>
            <w:r w:rsidRPr="008B5D1F">
              <w:t xml:space="preserve"> teachers in implementing the CCSS?</w:t>
            </w:r>
          </w:p>
        </w:tc>
        <w:tc>
          <w:tcPr>
            <w:tcW w:w="2027" w:type="dxa"/>
          </w:tcPr>
          <w:p w:rsidR="00B14AE7" w:rsidRDefault="00B14AE7" w:rsidP="005D1670">
            <w:r>
              <w:t>Not at all</w:t>
            </w:r>
          </w:p>
          <w:p w:rsidR="00B14AE7" w:rsidRDefault="00B14AE7" w:rsidP="005D1670">
            <w:r>
              <w:t>Somewhat</w:t>
            </w:r>
          </w:p>
          <w:p w:rsidR="00B14AE7" w:rsidRDefault="00B14AE7" w:rsidP="005D1670">
            <w:r>
              <w:t>Extensively</w:t>
            </w:r>
          </w:p>
        </w:tc>
        <w:tc>
          <w:tcPr>
            <w:tcW w:w="2248" w:type="dxa"/>
          </w:tcPr>
          <w:p w:rsidR="00B14AE7" w:rsidRDefault="00B14AE7" w:rsidP="005D1670"/>
        </w:tc>
      </w:tr>
      <w:tr w:rsidR="00B14AE7" w:rsidTr="00B14AE7">
        <w:tc>
          <w:tcPr>
            <w:tcW w:w="2581" w:type="dxa"/>
          </w:tcPr>
          <w:p w:rsidR="00B14AE7" w:rsidRPr="008B5D1F" w:rsidRDefault="008D39D8" w:rsidP="005D1670">
            <w:pPr>
              <w:spacing w:after="160" w:line="259" w:lineRule="auto"/>
            </w:pPr>
            <w:hyperlink r:id="rId6" w:history="1">
              <w:r w:rsidR="00B14AE7" w:rsidRPr="00E64143">
                <w:rPr>
                  <w:rStyle w:val="Hyperlink"/>
                </w:rPr>
                <w:t>Instructional materials &amp; curriculum</w:t>
              </w:r>
            </w:hyperlink>
          </w:p>
        </w:tc>
        <w:tc>
          <w:tcPr>
            <w:tcW w:w="2494" w:type="dxa"/>
          </w:tcPr>
          <w:p w:rsidR="00B14AE7" w:rsidRPr="008B5D1F" w:rsidRDefault="00B14AE7" w:rsidP="005D1670">
            <w:pPr>
              <w:spacing w:after="160" w:line="259" w:lineRule="auto"/>
            </w:pPr>
            <w:r w:rsidRPr="008B5D1F">
              <w:t>Are CCSS-based instructional materials &amp; curriculum appropriate for EL</w:t>
            </w:r>
            <w:r w:rsidR="003068B8">
              <w:t>L</w:t>
            </w:r>
            <w:r w:rsidRPr="008B5D1F">
              <w:t>s?</w:t>
            </w:r>
          </w:p>
        </w:tc>
        <w:tc>
          <w:tcPr>
            <w:tcW w:w="2027" w:type="dxa"/>
          </w:tcPr>
          <w:p w:rsidR="00B14AE7" w:rsidRDefault="00B14AE7" w:rsidP="00B14AE7">
            <w:r>
              <w:t>Not at all</w:t>
            </w:r>
          </w:p>
          <w:p w:rsidR="00B14AE7" w:rsidRDefault="00B14AE7" w:rsidP="00B14AE7">
            <w:r>
              <w:t>Somewhat</w:t>
            </w:r>
          </w:p>
          <w:p w:rsidR="00B14AE7" w:rsidRDefault="00B14AE7" w:rsidP="00B14AE7">
            <w:r>
              <w:t>Extensively</w:t>
            </w:r>
          </w:p>
        </w:tc>
        <w:tc>
          <w:tcPr>
            <w:tcW w:w="2248" w:type="dxa"/>
          </w:tcPr>
          <w:p w:rsidR="00B14AE7" w:rsidRDefault="00B14AE7" w:rsidP="005D1670"/>
        </w:tc>
      </w:tr>
      <w:tr w:rsidR="00B14AE7" w:rsidTr="00B14AE7">
        <w:tc>
          <w:tcPr>
            <w:tcW w:w="2581" w:type="dxa"/>
          </w:tcPr>
          <w:p w:rsidR="00B14AE7" w:rsidRPr="008B5D1F" w:rsidRDefault="008D39D8" w:rsidP="005D1670">
            <w:pPr>
              <w:spacing w:after="160" w:line="259" w:lineRule="auto"/>
            </w:pPr>
            <w:hyperlink r:id="rId7" w:history="1">
              <w:r w:rsidR="00B14AE7" w:rsidRPr="00E64143">
                <w:rPr>
                  <w:rStyle w:val="Hyperlink"/>
                </w:rPr>
                <w:t>Professional development</w:t>
              </w:r>
            </w:hyperlink>
          </w:p>
        </w:tc>
        <w:tc>
          <w:tcPr>
            <w:tcW w:w="2494" w:type="dxa"/>
          </w:tcPr>
          <w:p w:rsidR="00B14AE7" w:rsidRPr="008B5D1F" w:rsidRDefault="00B14AE7" w:rsidP="005D1670">
            <w:pPr>
              <w:spacing w:after="160" w:line="259" w:lineRule="auto"/>
            </w:pPr>
            <w:r w:rsidRPr="008B5D1F">
              <w:t xml:space="preserve">Does </w:t>
            </w:r>
            <w:r w:rsidR="0019652C">
              <w:t xml:space="preserve">Common Core </w:t>
            </w:r>
            <w:r w:rsidRPr="008B5D1F">
              <w:t xml:space="preserve">PD focus on preparing </w:t>
            </w:r>
            <w:r w:rsidRPr="008B5D1F">
              <w:rPr>
                <w:i/>
                <w:iCs/>
              </w:rPr>
              <w:t xml:space="preserve">all </w:t>
            </w:r>
            <w:r w:rsidRPr="008B5D1F">
              <w:t>teachers to implement the CCSS for EL</w:t>
            </w:r>
            <w:r w:rsidR="003068B8">
              <w:t>L</w:t>
            </w:r>
            <w:r w:rsidRPr="008B5D1F">
              <w:t>s?</w:t>
            </w:r>
          </w:p>
        </w:tc>
        <w:tc>
          <w:tcPr>
            <w:tcW w:w="2027" w:type="dxa"/>
          </w:tcPr>
          <w:p w:rsidR="00B14AE7" w:rsidRDefault="00B14AE7" w:rsidP="00B14AE7">
            <w:r>
              <w:t>Not at all</w:t>
            </w:r>
          </w:p>
          <w:p w:rsidR="00B14AE7" w:rsidRDefault="00B14AE7" w:rsidP="00B14AE7">
            <w:r>
              <w:t>Somewhat</w:t>
            </w:r>
          </w:p>
          <w:p w:rsidR="00B14AE7" w:rsidRDefault="00B14AE7" w:rsidP="00B14AE7">
            <w:r>
              <w:t>Extensively</w:t>
            </w:r>
          </w:p>
        </w:tc>
        <w:tc>
          <w:tcPr>
            <w:tcW w:w="2248" w:type="dxa"/>
          </w:tcPr>
          <w:p w:rsidR="00B14AE7" w:rsidRDefault="00B14AE7" w:rsidP="005D1670"/>
        </w:tc>
      </w:tr>
      <w:tr w:rsidR="00B14AE7" w:rsidTr="00B14AE7">
        <w:tc>
          <w:tcPr>
            <w:tcW w:w="2581" w:type="dxa"/>
          </w:tcPr>
          <w:p w:rsidR="00B14AE7" w:rsidRPr="008B5D1F" w:rsidRDefault="008D39D8" w:rsidP="005D1670">
            <w:pPr>
              <w:spacing w:after="160" w:line="259" w:lineRule="auto"/>
            </w:pPr>
            <w:hyperlink r:id="rId8" w:history="1">
              <w:r w:rsidR="00B14AE7" w:rsidRPr="00E64143">
                <w:rPr>
                  <w:rStyle w:val="Hyperlink"/>
                </w:rPr>
                <w:t>Assessment</w:t>
              </w:r>
            </w:hyperlink>
          </w:p>
        </w:tc>
        <w:tc>
          <w:tcPr>
            <w:tcW w:w="2494" w:type="dxa"/>
          </w:tcPr>
          <w:p w:rsidR="00B14AE7" w:rsidRPr="008B5D1F" w:rsidRDefault="00B14AE7" w:rsidP="005D1670">
            <w:pPr>
              <w:spacing w:after="160" w:line="259" w:lineRule="auto"/>
            </w:pPr>
            <w:r w:rsidRPr="008B5D1F">
              <w:t>Are teachers aware of demands of CCSS assessments for EL</w:t>
            </w:r>
            <w:r w:rsidR="003068B8">
              <w:t>L</w:t>
            </w:r>
            <w:r w:rsidRPr="008B5D1F">
              <w:t>s &amp; adjust instruction?</w:t>
            </w:r>
            <w:r w:rsidR="0019652C">
              <w:t xml:space="preserve"> Are they using effective accommodations with ELLs in instruction and assessment?</w:t>
            </w:r>
          </w:p>
        </w:tc>
        <w:tc>
          <w:tcPr>
            <w:tcW w:w="2027" w:type="dxa"/>
          </w:tcPr>
          <w:p w:rsidR="00B14AE7" w:rsidRDefault="00B14AE7" w:rsidP="00B14AE7">
            <w:r>
              <w:t>Not at all</w:t>
            </w:r>
          </w:p>
          <w:p w:rsidR="00B14AE7" w:rsidRDefault="00B14AE7" w:rsidP="00B14AE7">
            <w:r>
              <w:t>Somewhat</w:t>
            </w:r>
          </w:p>
          <w:p w:rsidR="00B14AE7" w:rsidRDefault="00B14AE7" w:rsidP="00B14AE7">
            <w:r>
              <w:t>Extensively</w:t>
            </w:r>
          </w:p>
        </w:tc>
        <w:tc>
          <w:tcPr>
            <w:tcW w:w="2248" w:type="dxa"/>
          </w:tcPr>
          <w:p w:rsidR="00B14AE7" w:rsidRDefault="00B14AE7" w:rsidP="005D1670"/>
        </w:tc>
      </w:tr>
      <w:tr w:rsidR="00B14AE7" w:rsidTr="00B14AE7">
        <w:tc>
          <w:tcPr>
            <w:tcW w:w="2581" w:type="dxa"/>
          </w:tcPr>
          <w:p w:rsidR="00B14AE7" w:rsidRPr="008B5D1F" w:rsidRDefault="008D39D8" w:rsidP="005D1670">
            <w:pPr>
              <w:spacing w:after="160" w:line="259" w:lineRule="auto"/>
            </w:pPr>
            <w:hyperlink r:id="rId9" w:history="1">
              <w:r w:rsidR="00B14AE7" w:rsidRPr="0070522F">
                <w:rPr>
                  <w:rStyle w:val="Hyperlink"/>
                </w:rPr>
                <w:t>EL parent outreach</w:t>
              </w:r>
            </w:hyperlink>
          </w:p>
        </w:tc>
        <w:tc>
          <w:tcPr>
            <w:tcW w:w="2494" w:type="dxa"/>
          </w:tcPr>
          <w:p w:rsidR="00B14AE7" w:rsidRPr="008B5D1F" w:rsidRDefault="00B14AE7" w:rsidP="005D1670">
            <w:pPr>
              <w:spacing w:after="160" w:line="259" w:lineRule="auto"/>
            </w:pPr>
            <w:r w:rsidRPr="008B5D1F">
              <w:t>Are EL</w:t>
            </w:r>
            <w:r w:rsidR="003068B8">
              <w:t>L</w:t>
            </w:r>
            <w:r w:rsidRPr="008B5D1F">
              <w:t xml:space="preserve"> parents aware of implications of CCSS and their assessments? </w:t>
            </w:r>
          </w:p>
        </w:tc>
        <w:tc>
          <w:tcPr>
            <w:tcW w:w="2027" w:type="dxa"/>
          </w:tcPr>
          <w:p w:rsidR="00B14AE7" w:rsidRDefault="00B14AE7" w:rsidP="00B14AE7">
            <w:r>
              <w:t>Not at all</w:t>
            </w:r>
          </w:p>
          <w:p w:rsidR="00B14AE7" w:rsidRDefault="00B14AE7" w:rsidP="00B14AE7">
            <w:r>
              <w:t>Somewhat</w:t>
            </w:r>
          </w:p>
          <w:p w:rsidR="00B14AE7" w:rsidRDefault="00B14AE7" w:rsidP="00B14AE7">
            <w:r>
              <w:t>Extensively</w:t>
            </w:r>
          </w:p>
        </w:tc>
        <w:tc>
          <w:tcPr>
            <w:tcW w:w="2248" w:type="dxa"/>
          </w:tcPr>
          <w:p w:rsidR="00B14AE7" w:rsidRDefault="00B14AE7" w:rsidP="005D1670"/>
        </w:tc>
      </w:tr>
      <w:tr w:rsidR="00B14AE7" w:rsidTr="00B14AE7">
        <w:tc>
          <w:tcPr>
            <w:tcW w:w="2581" w:type="dxa"/>
          </w:tcPr>
          <w:p w:rsidR="00B14AE7" w:rsidRPr="008B5D1F" w:rsidRDefault="008D39D8" w:rsidP="005D1670">
            <w:pPr>
              <w:spacing w:after="160" w:line="259" w:lineRule="auto"/>
            </w:pPr>
            <w:hyperlink r:id="rId10" w:history="1">
              <w:r w:rsidR="00B14AE7" w:rsidRPr="00692444">
                <w:rPr>
                  <w:rStyle w:val="Hyperlink"/>
                </w:rPr>
                <w:t>Teacher evaluation</w:t>
              </w:r>
            </w:hyperlink>
          </w:p>
        </w:tc>
        <w:tc>
          <w:tcPr>
            <w:tcW w:w="2494" w:type="dxa"/>
          </w:tcPr>
          <w:p w:rsidR="00B14AE7" w:rsidRPr="008B5D1F" w:rsidRDefault="00B14AE7" w:rsidP="005D1670">
            <w:pPr>
              <w:spacing w:after="160" w:line="259" w:lineRule="auto"/>
            </w:pPr>
            <w:r w:rsidRPr="0019652C">
              <w:t>Is teacher evaluation for all teachers inclusive of</w:t>
            </w:r>
            <w:r w:rsidRPr="008B5D1F">
              <w:t xml:space="preserve"> ELs accessing the CCSS?</w:t>
            </w:r>
          </w:p>
        </w:tc>
        <w:tc>
          <w:tcPr>
            <w:tcW w:w="2027" w:type="dxa"/>
          </w:tcPr>
          <w:p w:rsidR="00B14AE7" w:rsidRDefault="00B14AE7" w:rsidP="00B14AE7">
            <w:r>
              <w:t>Not at all</w:t>
            </w:r>
          </w:p>
          <w:p w:rsidR="00B14AE7" w:rsidRDefault="00B14AE7" w:rsidP="00B14AE7">
            <w:r>
              <w:t>Somewhat</w:t>
            </w:r>
          </w:p>
          <w:p w:rsidR="00B14AE7" w:rsidRDefault="00B14AE7" w:rsidP="00B14AE7">
            <w:r>
              <w:t>Extensively</w:t>
            </w:r>
          </w:p>
        </w:tc>
        <w:tc>
          <w:tcPr>
            <w:tcW w:w="2248" w:type="dxa"/>
          </w:tcPr>
          <w:p w:rsidR="00B14AE7" w:rsidRDefault="00B14AE7" w:rsidP="005D1670"/>
        </w:tc>
      </w:tr>
    </w:tbl>
    <w:p w:rsidR="00680573" w:rsidRDefault="00680573" w:rsidP="000B214E"/>
    <w:p w:rsidR="0019652C" w:rsidRDefault="0019652C" w:rsidP="000B214E"/>
    <w:p w:rsidR="0019652C" w:rsidRDefault="0019652C" w:rsidP="000B214E">
      <w:r>
        <w:lastRenderedPageBreak/>
        <w:t>Note:</w:t>
      </w:r>
      <w:r w:rsidR="003A1B60">
        <w:t xml:space="preserve"> The</w:t>
      </w:r>
      <w:r>
        <w:t xml:space="preserve"> concept is adapted from Betty J. Alford &amp; Mary Catherine </w:t>
      </w:r>
      <w:r w:rsidRPr="0019652C">
        <w:t>Ni</w:t>
      </w:r>
      <w:r w:rsidRPr="0019652C">
        <w:rPr>
          <w:iCs/>
        </w:rPr>
        <w:t>ñ</w:t>
      </w:r>
      <w:r w:rsidRPr="0019652C">
        <w:t>o</w:t>
      </w:r>
      <w:r>
        <w:t xml:space="preserve">’s “equity audit,” which appears in </w:t>
      </w:r>
      <w:hyperlink r:id="rId11" w:tgtFrame="_blank" w:tooltip="Alford &amp; Nino" w:history="1">
        <w:r>
          <w:rPr>
            <w:rStyle w:val="Hyperlink"/>
            <w:i/>
            <w:iCs/>
          </w:rPr>
          <w:t xml:space="preserve">Leading Academic Achievement for English Language Learners: </w:t>
        </w:r>
        <w:proofErr w:type="gramStart"/>
        <w:r>
          <w:rPr>
            <w:rStyle w:val="Hyperlink"/>
            <w:i/>
            <w:iCs/>
          </w:rPr>
          <w:t>A</w:t>
        </w:r>
        <w:proofErr w:type="gramEnd"/>
        <w:r>
          <w:rPr>
            <w:rStyle w:val="Hyperlink"/>
            <w:i/>
            <w:iCs/>
          </w:rPr>
          <w:t xml:space="preserve"> Guide for Principals </w:t>
        </w:r>
        <w:r>
          <w:rPr>
            <w:rStyle w:val="Hyperlink"/>
          </w:rPr>
          <w:t>(Corwin 2011).</w:t>
        </w:r>
      </w:hyperlink>
      <w:r>
        <w:t> </w:t>
      </w:r>
    </w:p>
    <w:sectPr w:rsidR="0019652C" w:rsidSect="008B5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47CB88" w15:done="0"/>
  <w15:commentEx w15:paraId="73D9C478" w15:done="0"/>
  <w15:commentEx w15:paraId="45FC4C10" w15:done="0"/>
  <w15:commentEx w15:paraId="682215D6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D3F78"/>
    <w:multiLevelType w:val="hybridMultilevel"/>
    <w:tmpl w:val="3B022812"/>
    <w:lvl w:ilvl="0" w:tplc="8440F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D0C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181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2F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A84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6E7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2D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3A1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8D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e Staehr Fenner">
    <w15:presenceInfo w15:providerId="None" w15:userId="Diane Staehr Fenn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B5D1F"/>
    <w:rsid w:val="000146DC"/>
    <w:rsid w:val="00022286"/>
    <w:rsid w:val="00027F15"/>
    <w:rsid w:val="00030ABE"/>
    <w:rsid w:val="00066B06"/>
    <w:rsid w:val="00074422"/>
    <w:rsid w:val="00080C58"/>
    <w:rsid w:val="000A15B5"/>
    <w:rsid w:val="000A2670"/>
    <w:rsid w:val="000B214E"/>
    <w:rsid w:val="000B3AB6"/>
    <w:rsid w:val="000B6267"/>
    <w:rsid w:val="000C08CA"/>
    <w:rsid w:val="000D46D3"/>
    <w:rsid w:val="000D6CA3"/>
    <w:rsid w:val="000E6FF3"/>
    <w:rsid w:val="000F3B00"/>
    <w:rsid w:val="00105591"/>
    <w:rsid w:val="00111317"/>
    <w:rsid w:val="00126145"/>
    <w:rsid w:val="00126BC2"/>
    <w:rsid w:val="001352E9"/>
    <w:rsid w:val="00141E7B"/>
    <w:rsid w:val="00172CA6"/>
    <w:rsid w:val="00173B4F"/>
    <w:rsid w:val="00174FB3"/>
    <w:rsid w:val="0017527B"/>
    <w:rsid w:val="00183681"/>
    <w:rsid w:val="00184233"/>
    <w:rsid w:val="0019652C"/>
    <w:rsid w:val="001A1A18"/>
    <w:rsid w:val="001A2669"/>
    <w:rsid w:val="001A664D"/>
    <w:rsid w:val="001B5193"/>
    <w:rsid w:val="001B64EC"/>
    <w:rsid w:val="001C0D3A"/>
    <w:rsid w:val="001C1C26"/>
    <w:rsid w:val="001C7C3F"/>
    <w:rsid w:val="001D461C"/>
    <w:rsid w:val="001E100F"/>
    <w:rsid w:val="00202753"/>
    <w:rsid w:val="00204E67"/>
    <w:rsid w:val="00245771"/>
    <w:rsid w:val="0025188A"/>
    <w:rsid w:val="002533BB"/>
    <w:rsid w:val="00254D34"/>
    <w:rsid w:val="00295540"/>
    <w:rsid w:val="002B6DF0"/>
    <w:rsid w:val="002C06DA"/>
    <w:rsid w:val="002E215A"/>
    <w:rsid w:val="002E28DC"/>
    <w:rsid w:val="003026F4"/>
    <w:rsid w:val="0030491B"/>
    <w:rsid w:val="003068B8"/>
    <w:rsid w:val="003135C4"/>
    <w:rsid w:val="00325DB1"/>
    <w:rsid w:val="003266DE"/>
    <w:rsid w:val="0033370D"/>
    <w:rsid w:val="003340A7"/>
    <w:rsid w:val="00340F28"/>
    <w:rsid w:val="003452D6"/>
    <w:rsid w:val="00374560"/>
    <w:rsid w:val="003748A4"/>
    <w:rsid w:val="003768F0"/>
    <w:rsid w:val="00393149"/>
    <w:rsid w:val="003A1B60"/>
    <w:rsid w:val="003B0500"/>
    <w:rsid w:val="003C20B5"/>
    <w:rsid w:val="003C5BB0"/>
    <w:rsid w:val="003D0A2E"/>
    <w:rsid w:val="003F102E"/>
    <w:rsid w:val="00410A1F"/>
    <w:rsid w:val="00425537"/>
    <w:rsid w:val="00425AF6"/>
    <w:rsid w:val="0043734C"/>
    <w:rsid w:val="00443F4D"/>
    <w:rsid w:val="00451766"/>
    <w:rsid w:val="0045490C"/>
    <w:rsid w:val="00454D6D"/>
    <w:rsid w:val="00486F10"/>
    <w:rsid w:val="004B5648"/>
    <w:rsid w:val="004B6A68"/>
    <w:rsid w:val="004C2D76"/>
    <w:rsid w:val="004D7606"/>
    <w:rsid w:val="00507759"/>
    <w:rsid w:val="005251EB"/>
    <w:rsid w:val="00533EFF"/>
    <w:rsid w:val="00534ECE"/>
    <w:rsid w:val="005563B9"/>
    <w:rsid w:val="00566760"/>
    <w:rsid w:val="00570D95"/>
    <w:rsid w:val="005727B5"/>
    <w:rsid w:val="00580C37"/>
    <w:rsid w:val="00584609"/>
    <w:rsid w:val="00590E25"/>
    <w:rsid w:val="005C7E39"/>
    <w:rsid w:val="0060148E"/>
    <w:rsid w:val="00603B50"/>
    <w:rsid w:val="00606827"/>
    <w:rsid w:val="006247B7"/>
    <w:rsid w:val="00624B85"/>
    <w:rsid w:val="00633B93"/>
    <w:rsid w:val="0065519F"/>
    <w:rsid w:val="00655202"/>
    <w:rsid w:val="00656CAA"/>
    <w:rsid w:val="00680573"/>
    <w:rsid w:val="00692444"/>
    <w:rsid w:val="006B3E96"/>
    <w:rsid w:val="006B7971"/>
    <w:rsid w:val="006C3462"/>
    <w:rsid w:val="006F7308"/>
    <w:rsid w:val="0070522F"/>
    <w:rsid w:val="0070535A"/>
    <w:rsid w:val="007447FB"/>
    <w:rsid w:val="00747EA6"/>
    <w:rsid w:val="00767505"/>
    <w:rsid w:val="007758C3"/>
    <w:rsid w:val="007914E7"/>
    <w:rsid w:val="00795693"/>
    <w:rsid w:val="007B39FE"/>
    <w:rsid w:val="007B43A7"/>
    <w:rsid w:val="007D31B5"/>
    <w:rsid w:val="00801EB2"/>
    <w:rsid w:val="00827ACA"/>
    <w:rsid w:val="008316CD"/>
    <w:rsid w:val="00832EFF"/>
    <w:rsid w:val="00860B7E"/>
    <w:rsid w:val="0086549F"/>
    <w:rsid w:val="00874C0A"/>
    <w:rsid w:val="00884F2B"/>
    <w:rsid w:val="0088519E"/>
    <w:rsid w:val="00885245"/>
    <w:rsid w:val="00893B48"/>
    <w:rsid w:val="0089615F"/>
    <w:rsid w:val="008B2478"/>
    <w:rsid w:val="008B5D1F"/>
    <w:rsid w:val="008C0ADD"/>
    <w:rsid w:val="008D1C28"/>
    <w:rsid w:val="008D39D8"/>
    <w:rsid w:val="008F2A5D"/>
    <w:rsid w:val="00920825"/>
    <w:rsid w:val="009437AF"/>
    <w:rsid w:val="00951965"/>
    <w:rsid w:val="00954520"/>
    <w:rsid w:val="00955483"/>
    <w:rsid w:val="00961249"/>
    <w:rsid w:val="009769BA"/>
    <w:rsid w:val="00982CE5"/>
    <w:rsid w:val="009F6422"/>
    <w:rsid w:val="00A05AB1"/>
    <w:rsid w:val="00A15769"/>
    <w:rsid w:val="00A31766"/>
    <w:rsid w:val="00A3799F"/>
    <w:rsid w:val="00A46771"/>
    <w:rsid w:val="00A671F8"/>
    <w:rsid w:val="00A7003D"/>
    <w:rsid w:val="00A701CB"/>
    <w:rsid w:val="00A77CA8"/>
    <w:rsid w:val="00AB04B2"/>
    <w:rsid w:val="00AB1E02"/>
    <w:rsid w:val="00AD3BCE"/>
    <w:rsid w:val="00AF20EA"/>
    <w:rsid w:val="00B103F4"/>
    <w:rsid w:val="00B14AE7"/>
    <w:rsid w:val="00B236E3"/>
    <w:rsid w:val="00B26468"/>
    <w:rsid w:val="00B26E23"/>
    <w:rsid w:val="00B56E74"/>
    <w:rsid w:val="00B711CB"/>
    <w:rsid w:val="00B916F4"/>
    <w:rsid w:val="00B952E2"/>
    <w:rsid w:val="00B963F0"/>
    <w:rsid w:val="00B97C77"/>
    <w:rsid w:val="00BD4274"/>
    <w:rsid w:val="00BE3A1D"/>
    <w:rsid w:val="00C33CE5"/>
    <w:rsid w:val="00C503A4"/>
    <w:rsid w:val="00C650F4"/>
    <w:rsid w:val="00C656FD"/>
    <w:rsid w:val="00CA662A"/>
    <w:rsid w:val="00CA66E6"/>
    <w:rsid w:val="00CB391B"/>
    <w:rsid w:val="00CC184C"/>
    <w:rsid w:val="00CC49CB"/>
    <w:rsid w:val="00CD28AA"/>
    <w:rsid w:val="00CD5380"/>
    <w:rsid w:val="00D01354"/>
    <w:rsid w:val="00D07D32"/>
    <w:rsid w:val="00D16236"/>
    <w:rsid w:val="00D41694"/>
    <w:rsid w:val="00D424FC"/>
    <w:rsid w:val="00D44A8D"/>
    <w:rsid w:val="00D6299B"/>
    <w:rsid w:val="00D76815"/>
    <w:rsid w:val="00DB1CB1"/>
    <w:rsid w:val="00DB3577"/>
    <w:rsid w:val="00DD0EB2"/>
    <w:rsid w:val="00DD3506"/>
    <w:rsid w:val="00DF4055"/>
    <w:rsid w:val="00E05BAC"/>
    <w:rsid w:val="00E118CE"/>
    <w:rsid w:val="00E32AC0"/>
    <w:rsid w:val="00E35527"/>
    <w:rsid w:val="00E454DC"/>
    <w:rsid w:val="00E55EEC"/>
    <w:rsid w:val="00E621BD"/>
    <w:rsid w:val="00E64143"/>
    <w:rsid w:val="00E66DAD"/>
    <w:rsid w:val="00E6761E"/>
    <w:rsid w:val="00E81C0B"/>
    <w:rsid w:val="00E82176"/>
    <w:rsid w:val="00E859B0"/>
    <w:rsid w:val="00EC0371"/>
    <w:rsid w:val="00EE4481"/>
    <w:rsid w:val="00F00A8B"/>
    <w:rsid w:val="00F10F4F"/>
    <w:rsid w:val="00F277DE"/>
    <w:rsid w:val="00F31F96"/>
    <w:rsid w:val="00F40759"/>
    <w:rsid w:val="00F437BA"/>
    <w:rsid w:val="00F5671E"/>
    <w:rsid w:val="00F679A8"/>
    <w:rsid w:val="00F74FEF"/>
    <w:rsid w:val="00F759A5"/>
    <w:rsid w:val="00F77CB2"/>
    <w:rsid w:val="00F843AC"/>
    <w:rsid w:val="00F978BC"/>
    <w:rsid w:val="00FC746A"/>
    <w:rsid w:val="00FC7C1A"/>
    <w:rsid w:val="00FF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414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4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1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1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1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414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08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380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744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08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23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colorincolorado.org/2013/06/27/assessment-of-ells-on-the-ccs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log.colorincolorado.org/2013/10/18/common-core-and-ells-planning-professional-development-for-colleagues-part-1/" TargetMode="Externa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og.colorincolorado.org/2013/09/11/common-core-for-ells-resource-roundup/" TargetMode="External"/><Relationship Id="rId11" Type="http://schemas.openxmlformats.org/officeDocument/2006/relationships/hyperlink" Target="http://www.sagepub.com/books/Book234684/features" TargetMode="External"/><Relationship Id="rId5" Type="http://schemas.openxmlformats.org/officeDocument/2006/relationships/hyperlink" Target="http://blog.colorincolorado.org/2013/05/07/tesol-report-the-changing-role-of-the-esl-teacher/" TargetMode="External"/><Relationship Id="rId10" Type="http://schemas.openxmlformats.org/officeDocument/2006/relationships/hyperlink" Target="http://blog.colorincolorado.org/2012/12/12/evaluating-teachers-of-ells-in-the-age-of-the-cc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lorincolorado.org/common-core/parents/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WETA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Staehr Fenner</dc:creator>
  <cp:lastModifiedBy>kdeckert</cp:lastModifiedBy>
  <cp:revision>2</cp:revision>
  <dcterms:created xsi:type="dcterms:W3CDTF">2015-09-12T15:49:00Z</dcterms:created>
  <dcterms:modified xsi:type="dcterms:W3CDTF">2015-09-12T15:49:00Z</dcterms:modified>
</cp:coreProperties>
</file>